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38C83">
      <w:pPr>
        <w:spacing w:after="0" w:line="240" w:lineRule="auto"/>
      </w:pPr>
      <w:r>
        <w:t xml:space="preserve">         </w:t>
      </w:r>
      <w:r>
        <w:rPr>
          <w:w w:val="90"/>
        </w:rPr>
        <w:t>UBND TỈNH LẠNG SƠN</w:t>
      </w:r>
      <w:r>
        <w:t xml:space="preserve">                                                                        </w:t>
      </w:r>
      <w:r>
        <w:rPr>
          <w:rFonts w:ascii="Times New Roman Bold" w:hAnsi="Times New Roman Bold"/>
          <w:b/>
          <w:w w:val="90"/>
        </w:rPr>
        <w:t>CỘNG HÒA XÃ HỘI CHỦ NGHĨA VIỆT NAM</w:t>
      </w:r>
    </w:p>
    <w:p w14:paraId="0CAC5ECC">
      <w:pPr>
        <w:spacing w:after="0" w:line="240" w:lineRule="auto"/>
        <w:rPr>
          <w:b/>
        </w:rPr>
      </w:pPr>
      <w:r>
        <w:rPr>
          <w:rFonts w:ascii="Times New Roman Bold" w:hAnsi="Times New Roman Bold"/>
          <w:b/>
          <w:w w:val="90"/>
        </w:rPr>
        <w:t>SỞ VĂN HÓA, THỂ THAO VÀ DU LỊCH</w:t>
      </w:r>
      <w:r>
        <w:rPr>
          <w:b/>
        </w:rPr>
        <w:t xml:space="preserve">                                                                 Độc lập- Tự do- Hạnh phúc</w:t>
      </w:r>
    </w:p>
    <w:p w14:paraId="032B23A9">
      <w:pPr>
        <w:spacing w:after="0" w:line="240" w:lineRule="auto"/>
        <w:rPr>
          <w:b/>
        </w:rPr>
      </w:pPr>
      <w:r>
        <w:rPr>
          <w:b/>
        </w:rPr>
        <mc:AlternateContent>
          <mc:Choice Requires="wps">
            <w:drawing>
              <wp:anchor distT="0" distB="0" distL="114300" distR="114300" simplePos="0" relativeHeight="251660288" behindDoc="0" locked="0" layoutInCell="1" allowOverlap="1">
                <wp:simplePos x="0" y="0"/>
                <wp:positionH relativeFrom="column">
                  <wp:posOffset>5880735</wp:posOffset>
                </wp:positionH>
                <wp:positionV relativeFrom="paragraph">
                  <wp:posOffset>38735</wp:posOffset>
                </wp:positionV>
                <wp:extent cx="19431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63.05pt;margin-top:3.05pt;height:0pt;width:153pt;z-index:251660288;mso-width-relative:page;mso-height-relative:page;" filled="f" stroked="t" coordsize="21600,21600" o:gfxdata="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fTbrbXAAAA&#10;CAEAAA8AAAAAAAAAAQAgAAAAIgAAAGRycy9kb3ducmV2LnhtbFBLAQIUABQAAAAIAIdO4kAcrBPW&#10;5QEAANYDAAAOAAAAAAAAAAEAIAAAACYBAABkcnMvZTJvRG9jLnhtbFBLBQYAAAAABgAGAFkBAAB9&#10;BQAAAAA=&#10;">
                <v:fill on="f" focussize="0,0"/>
                <v:stroke color="#4A7EBB [3204]" joinstyle="round"/>
                <v:imagedata o:title=""/>
                <o:lock v:ext="edit" aspectratio="f"/>
              </v:line>
            </w:pict>
          </mc:Fallback>
        </mc:AlternateContent>
      </w:r>
      <w:r>
        <w:rPr>
          <w:b/>
        </w:rPr>
        <mc:AlternateContent>
          <mc:Choice Requires="wps">
            <w:drawing>
              <wp:anchor distT="0" distB="0" distL="114300" distR="114300" simplePos="0" relativeHeight="251659264" behindDoc="0" locked="0" layoutInCell="1" allowOverlap="1">
                <wp:simplePos x="0" y="0"/>
                <wp:positionH relativeFrom="column">
                  <wp:posOffset>499110</wp:posOffset>
                </wp:positionH>
                <wp:positionV relativeFrom="paragraph">
                  <wp:posOffset>38735</wp:posOffset>
                </wp:positionV>
                <wp:extent cx="16097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609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9.3pt;margin-top:3.05pt;height:0pt;width:126.75pt;z-index:251659264;mso-width-relative:page;mso-height-relative:page;" filled="f" stroked="t" coordsize="21600,21600" o:gfxdata="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ApIkG1gAAAAYB&#10;AAAPAAAAAAAAAAEAIAAAACIAAABkcnMvZG93bnJldi54bWxQSwECFAAUAAAACACHTuJAsq7ob+QB&#10;AADWAwAADgAAAAAAAAABACAAAAAlAQAAZHJzL2Uyb0RvYy54bWxQSwUGAAAAAAYABgBZAQAAewUA&#10;AAAA&#10;">
                <v:fill on="f" focussize="0,0"/>
                <v:stroke color="#4A7EBB [3204]" joinstyle="round"/>
                <v:imagedata o:title=""/>
                <o:lock v:ext="edit" aspectratio="f"/>
              </v:line>
            </w:pict>
          </mc:Fallback>
        </mc:AlternateContent>
      </w:r>
      <w:r>
        <w:rPr>
          <w:b/>
        </w:rPr>
        <w:t xml:space="preserve"> </w:t>
      </w:r>
    </w:p>
    <w:p w14:paraId="10580AB6">
      <w:pPr>
        <w:spacing w:after="0" w:line="240" w:lineRule="auto"/>
        <w:rPr>
          <w:rFonts w:eastAsia="Times New Roman" w:cs="Times New Roman"/>
          <w:b/>
        </w:rPr>
      </w:pPr>
    </w:p>
    <w:p w14:paraId="69151B4C">
      <w:pPr>
        <w:spacing w:after="0" w:line="240" w:lineRule="auto"/>
        <w:jc w:val="center"/>
        <w:rPr>
          <w:rFonts w:eastAsia="Times New Roman" w:cs="Times New Roman"/>
          <w:b/>
        </w:rPr>
      </w:pPr>
      <w:r>
        <w:rPr>
          <w:rFonts w:eastAsia="Times New Roman" w:cs="Times New Roman"/>
          <w:b/>
        </w:rPr>
        <w:t>BIỂU TỔNG HỢP, GIẢI TRÌNH, TIẾP THU CÁC Ý KIẾN GÓP Ý</w:t>
      </w:r>
    </w:p>
    <w:p w14:paraId="690E4311">
      <w:pPr>
        <w:spacing w:before="120"/>
        <w:jc w:val="center"/>
        <w:rPr>
          <w:rFonts w:ascii="Times New Roman Bold" w:hAnsi="Times New Roman Bold"/>
          <w:b/>
        </w:rPr>
      </w:pPr>
      <w:r>
        <w:rPr>
          <w:rFonts w:eastAsia="Times New Roman" w:cs="Times New Roman"/>
          <w:b/>
        </w:rPr>
        <w:t xml:space="preserve">Đối với </w:t>
      </w:r>
      <w:r>
        <w:rPr>
          <w:rFonts w:cs="Times New Roman"/>
          <w:b/>
        </w:rPr>
        <w:t>dự thảo Quyết định</w:t>
      </w:r>
      <w:r>
        <w:rPr>
          <w:rFonts w:ascii="Times New Roman Bold" w:hAnsi="Times New Roman Bold"/>
          <w:b/>
        </w:rPr>
        <w:t xml:space="preserve"> Sửa đổi, bổ sung, thay thế và bãi bỏ một số nội dung tại Quyết định số 21/2024/QĐ-UBND ngày 24 tháng 6 năm 2024 của Ủy ban nhân dân tỉnh Lạng Sơn ban hành Quy định chi tiết tiêu chuẩn xét tặng danh hiệu “Gia đình văn hóa”, “Thôn, tổ dân phố văn hóa”, “Xã, phường, thị trấn tiêu biểu” trên địa bàn tỉnh Lạng Sơn</w:t>
      </w:r>
    </w:p>
    <w:p w14:paraId="2A2D6D0D">
      <w:pPr>
        <w:spacing w:after="0" w:line="240" w:lineRule="auto"/>
        <w:rPr>
          <w:rFonts w:eastAsia="Times New Roman" w:cs="Times New Roman"/>
          <w:b/>
        </w:rPr>
      </w:pPr>
    </w:p>
    <w:tbl>
      <w:tblPr>
        <w:tblStyle w:val="6"/>
        <w:tblW w:w="1469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36"/>
        <w:gridCol w:w="4617"/>
        <w:gridCol w:w="174"/>
        <w:gridCol w:w="6014"/>
        <w:gridCol w:w="3158"/>
      </w:tblGrid>
      <w:tr w14:paraId="7B096C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8" w:hRule="atLeast"/>
        </w:trPr>
        <w:tc>
          <w:tcPr>
            <w:tcW w:w="736" w:type="dxa"/>
          </w:tcPr>
          <w:p w14:paraId="4207DF11">
            <w:pPr>
              <w:spacing w:after="0" w:line="240" w:lineRule="auto"/>
              <w:jc w:val="center"/>
              <w:rPr>
                <w:rFonts w:eastAsia="Times New Roman" w:cs="Times New Roman"/>
                <w:b/>
                <w:w w:val="90"/>
                <w:sz w:val="26"/>
                <w:szCs w:val="26"/>
              </w:rPr>
            </w:pPr>
            <w:r>
              <w:rPr>
                <w:rFonts w:eastAsia="Times New Roman" w:cs="Times New Roman"/>
                <w:b/>
                <w:w w:val="90"/>
                <w:sz w:val="26"/>
                <w:szCs w:val="26"/>
              </w:rPr>
              <w:t>STT</w:t>
            </w:r>
          </w:p>
        </w:tc>
        <w:tc>
          <w:tcPr>
            <w:tcW w:w="4791" w:type="dxa"/>
            <w:gridSpan w:val="2"/>
          </w:tcPr>
          <w:p w14:paraId="34BA7654">
            <w:pPr>
              <w:spacing w:after="0" w:line="240" w:lineRule="auto"/>
              <w:jc w:val="center"/>
              <w:rPr>
                <w:rFonts w:eastAsia="Times New Roman" w:cs="Times New Roman"/>
                <w:b/>
                <w:w w:val="90"/>
                <w:sz w:val="26"/>
                <w:szCs w:val="26"/>
              </w:rPr>
            </w:pPr>
            <w:r>
              <w:rPr>
                <w:rFonts w:eastAsia="Times New Roman" w:cs="Times New Roman"/>
                <w:b/>
                <w:w w:val="90"/>
                <w:sz w:val="26"/>
                <w:szCs w:val="26"/>
              </w:rPr>
              <w:t>TÊN CƠ QUAN, ĐƠN VỊ</w:t>
            </w:r>
          </w:p>
        </w:tc>
        <w:tc>
          <w:tcPr>
            <w:tcW w:w="6014" w:type="dxa"/>
          </w:tcPr>
          <w:p w14:paraId="6E58AEED">
            <w:pPr>
              <w:spacing w:after="0" w:line="240" w:lineRule="auto"/>
              <w:jc w:val="center"/>
              <w:rPr>
                <w:rFonts w:eastAsia="Times New Roman" w:cs="Times New Roman"/>
                <w:b/>
                <w:w w:val="90"/>
                <w:sz w:val="26"/>
                <w:szCs w:val="26"/>
              </w:rPr>
            </w:pPr>
            <w:r>
              <w:rPr>
                <w:rFonts w:eastAsia="Times New Roman" w:cs="Times New Roman"/>
                <w:b/>
                <w:w w:val="90"/>
                <w:sz w:val="26"/>
                <w:szCs w:val="26"/>
              </w:rPr>
              <w:t>Ý KIẾN GÓP Ý</w:t>
            </w:r>
          </w:p>
        </w:tc>
        <w:tc>
          <w:tcPr>
            <w:tcW w:w="3158" w:type="dxa"/>
          </w:tcPr>
          <w:p w14:paraId="32F152EA">
            <w:pPr>
              <w:spacing w:after="0" w:line="240" w:lineRule="auto"/>
              <w:jc w:val="center"/>
              <w:rPr>
                <w:rFonts w:eastAsia="Times New Roman" w:cs="Times New Roman"/>
                <w:b/>
                <w:w w:val="90"/>
                <w:sz w:val="26"/>
                <w:szCs w:val="26"/>
              </w:rPr>
            </w:pPr>
            <w:r>
              <w:rPr>
                <w:rFonts w:eastAsia="Times New Roman" w:cs="Times New Roman"/>
                <w:b/>
                <w:w w:val="90"/>
                <w:sz w:val="26"/>
                <w:szCs w:val="26"/>
              </w:rPr>
              <w:t>Ý KIẾN GIẢI TRÌNH</w:t>
            </w:r>
          </w:p>
        </w:tc>
      </w:tr>
      <w:tr w14:paraId="551917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8" w:hRule="atLeast"/>
        </w:trPr>
        <w:tc>
          <w:tcPr>
            <w:tcW w:w="736" w:type="dxa"/>
          </w:tcPr>
          <w:p w14:paraId="3D8C26AD">
            <w:pPr>
              <w:spacing w:after="0" w:line="240" w:lineRule="auto"/>
              <w:jc w:val="center"/>
              <w:rPr>
                <w:rFonts w:eastAsia="Times New Roman" w:cs="Times New Roman"/>
                <w:b/>
                <w:w w:val="90"/>
                <w:sz w:val="26"/>
                <w:szCs w:val="26"/>
              </w:rPr>
            </w:pPr>
            <w:r>
              <w:rPr>
                <w:rFonts w:eastAsia="Times New Roman" w:cs="Times New Roman"/>
                <w:b/>
                <w:w w:val="90"/>
                <w:sz w:val="26"/>
                <w:szCs w:val="26"/>
              </w:rPr>
              <w:t>I</w:t>
            </w:r>
          </w:p>
        </w:tc>
        <w:tc>
          <w:tcPr>
            <w:tcW w:w="13963" w:type="dxa"/>
            <w:gridSpan w:val="4"/>
          </w:tcPr>
          <w:p w14:paraId="5557B6B3">
            <w:pPr>
              <w:spacing w:after="0" w:line="240" w:lineRule="auto"/>
              <w:rPr>
                <w:rFonts w:eastAsia="Times New Roman" w:cs="Times New Roman"/>
                <w:b/>
                <w:w w:val="90"/>
                <w:sz w:val="26"/>
                <w:szCs w:val="26"/>
              </w:rPr>
            </w:pPr>
            <w:r>
              <w:rPr>
                <w:rFonts w:eastAsia="Times New Roman" w:cs="Times New Roman"/>
                <w:b/>
                <w:w w:val="90"/>
                <w:sz w:val="26"/>
                <w:szCs w:val="26"/>
              </w:rPr>
              <w:t xml:space="preserve">Các cơ quan, đơn vị nhất trí dự thảo văn bản: </w:t>
            </w:r>
          </w:p>
        </w:tc>
      </w:tr>
      <w:tr w14:paraId="203267B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8" w:hRule="atLeast"/>
        </w:trPr>
        <w:tc>
          <w:tcPr>
            <w:tcW w:w="736" w:type="dxa"/>
          </w:tcPr>
          <w:p w14:paraId="52698462">
            <w:pPr>
              <w:spacing w:after="0" w:line="240" w:lineRule="auto"/>
              <w:jc w:val="center"/>
              <w:rPr>
                <w:rFonts w:eastAsia="Times New Roman" w:cs="Times New Roman"/>
                <w:b/>
                <w:w w:val="90"/>
                <w:sz w:val="26"/>
                <w:szCs w:val="26"/>
              </w:rPr>
            </w:pPr>
            <w:r>
              <w:rPr>
                <w:rFonts w:eastAsia="Times New Roman" w:cs="Times New Roman"/>
                <w:b/>
                <w:w w:val="90"/>
                <w:sz w:val="26"/>
                <w:szCs w:val="26"/>
              </w:rPr>
              <w:t>-</w:t>
            </w:r>
          </w:p>
        </w:tc>
        <w:tc>
          <w:tcPr>
            <w:tcW w:w="4791" w:type="dxa"/>
            <w:gridSpan w:val="2"/>
          </w:tcPr>
          <w:p w14:paraId="0314F457">
            <w:pPr>
              <w:tabs>
                <w:tab w:val="left" w:pos="709"/>
              </w:tabs>
              <w:snapToGrid w:val="0"/>
              <w:spacing w:before="120" w:after="0" w:line="320" w:lineRule="exact"/>
              <w:jc w:val="both"/>
              <w:rPr>
                <w:rFonts w:eastAsia="Arial" w:cs="Times New Roman"/>
                <w:w w:val="90"/>
                <w:sz w:val="26"/>
                <w:szCs w:val="26"/>
              </w:rPr>
            </w:pPr>
            <w:r>
              <w:rPr>
                <w:rFonts w:eastAsia="Arial" w:cs="Times New Roman"/>
                <w:w w:val="90"/>
                <w:sz w:val="26"/>
                <w:szCs w:val="26"/>
              </w:rPr>
              <w:t>Các Sở, ban, ngành của tỉnh (11): Sở Giáo dục và Đào tạo, Mặt trận Tổ quốc, Tòa án, Nội vụ, Liên đoàn Lao động, Y tế, Nông nghiệp và Môi trường, Xây dựng, Khoa học và Công nghệ, Tài Chính, Công an tỉnh</w:t>
            </w:r>
          </w:p>
        </w:tc>
        <w:tc>
          <w:tcPr>
            <w:tcW w:w="6014" w:type="dxa"/>
          </w:tcPr>
          <w:p w14:paraId="2344D067">
            <w:pPr>
              <w:spacing w:after="0" w:line="240" w:lineRule="auto"/>
              <w:jc w:val="center"/>
              <w:rPr>
                <w:rFonts w:eastAsia="Times New Roman" w:cs="Times New Roman"/>
                <w:b/>
                <w:w w:val="90"/>
                <w:sz w:val="26"/>
                <w:szCs w:val="26"/>
              </w:rPr>
            </w:pPr>
          </w:p>
          <w:p w14:paraId="16801068">
            <w:pPr>
              <w:spacing w:after="0" w:line="240" w:lineRule="auto"/>
              <w:jc w:val="center"/>
              <w:rPr>
                <w:rFonts w:eastAsia="Times New Roman" w:cs="Times New Roman"/>
                <w:b/>
                <w:w w:val="90"/>
                <w:sz w:val="26"/>
                <w:szCs w:val="26"/>
              </w:rPr>
            </w:pPr>
          </w:p>
          <w:p w14:paraId="2CC3C1F0">
            <w:pPr>
              <w:spacing w:after="0" w:line="240" w:lineRule="auto"/>
              <w:jc w:val="center"/>
              <w:rPr>
                <w:rFonts w:eastAsia="Times New Roman" w:cs="Times New Roman"/>
                <w:b/>
                <w:w w:val="90"/>
                <w:sz w:val="26"/>
                <w:szCs w:val="26"/>
              </w:rPr>
            </w:pPr>
            <w:r>
              <w:rPr>
                <w:rFonts w:eastAsia="Times New Roman" w:cs="Times New Roman"/>
                <w:b/>
                <w:w w:val="90"/>
                <w:sz w:val="26"/>
                <w:szCs w:val="26"/>
              </w:rPr>
              <w:t>Nhất trí</w:t>
            </w:r>
          </w:p>
        </w:tc>
        <w:tc>
          <w:tcPr>
            <w:tcW w:w="3158" w:type="dxa"/>
          </w:tcPr>
          <w:p w14:paraId="5C9C2854">
            <w:pPr>
              <w:spacing w:after="0" w:line="240" w:lineRule="auto"/>
              <w:jc w:val="center"/>
              <w:rPr>
                <w:rFonts w:eastAsia="Times New Roman" w:cs="Times New Roman"/>
                <w:b/>
                <w:w w:val="90"/>
                <w:sz w:val="26"/>
                <w:szCs w:val="26"/>
              </w:rPr>
            </w:pPr>
          </w:p>
        </w:tc>
      </w:tr>
      <w:tr w14:paraId="2D6899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8" w:hRule="atLeast"/>
        </w:trPr>
        <w:tc>
          <w:tcPr>
            <w:tcW w:w="736" w:type="dxa"/>
          </w:tcPr>
          <w:p w14:paraId="0260F95E">
            <w:pPr>
              <w:spacing w:after="0" w:line="240" w:lineRule="auto"/>
              <w:jc w:val="center"/>
              <w:rPr>
                <w:rFonts w:eastAsia="Times New Roman" w:cs="Times New Roman"/>
                <w:b/>
                <w:w w:val="90"/>
                <w:sz w:val="26"/>
                <w:szCs w:val="26"/>
              </w:rPr>
            </w:pPr>
            <w:r>
              <w:rPr>
                <w:rFonts w:eastAsia="Times New Roman" w:cs="Times New Roman"/>
                <w:b/>
                <w:w w:val="90"/>
                <w:sz w:val="26"/>
                <w:szCs w:val="26"/>
              </w:rPr>
              <w:t>-</w:t>
            </w:r>
          </w:p>
        </w:tc>
        <w:tc>
          <w:tcPr>
            <w:tcW w:w="4791" w:type="dxa"/>
            <w:gridSpan w:val="2"/>
          </w:tcPr>
          <w:p w14:paraId="1BEB6945">
            <w:pPr>
              <w:tabs>
                <w:tab w:val="left" w:pos="709"/>
              </w:tabs>
              <w:snapToGrid w:val="0"/>
              <w:spacing w:before="120" w:after="0" w:line="320" w:lineRule="exact"/>
              <w:jc w:val="both"/>
              <w:rPr>
                <w:rFonts w:eastAsia="Arial" w:cs="Times New Roman"/>
                <w:w w:val="90"/>
                <w:sz w:val="26"/>
                <w:szCs w:val="26"/>
              </w:rPr>
            </w:pPr>
            <w:r>
              <w:rPr>
                <w:rFonts w:eastAsia="Arial" w:cs="Times New Roman"/>
                <w:w w:val="90"/>
                <w:sz w:val="26"/>
                <w:szCs w:val="26"/>
              </w:rPr>
              <w:t>UBND các xã, phường (42): Vân Nham, Hồng Phong, Cai Kinh, Đoàn kết, Bằng Mạc, Vũ Lễ, Quốc Việt, Vạn Linh, Hội Hoan, Tân Thành, Tuấn Sơn, Thiệu Tân, Chiến Thắng, Thiện Thuật, phường Kỳ Lừa, Châu Sơn, Bình Gia, Tri Lễ, Na Sầm, Phường Tam Thanh, Tân Văn, Yên Bình, Khuất Xá, Công Sơn, Quý Hòa, Văn Quan, Tân Tiến, Văn Lãng, Kháng Chiến, Thiện Hòa, Tân Đoàn, Ba Sơn, Quan Sơn, Khánh Khê, Phường Đông Kinh, Hữu Liên, Thụy Hùng, Xuân Dương, Cao Lộc, Điềm He, Lộc Bình;Đồng Đăng</w:t>
            </w:r>
          </w:p>
        </w:tc>
        <w:tc>
          <w:tcPr>
            <w:tcW w:w="6014" w:type="dxa"/>
          </w:tcPr>
          <w:p w14:paraId="13B0E130">
            <w:pPr>
              <w:spacing w:after="0" w:line="240" w:lineRule="auto"/>
              <w:jc w:val="center"/>
              <w:rPr>
                <w:rFonts w:eastAsia="Times New Roman" w:cs="Times New Roman"/>
                <w:b/>
                <w:w w:val="90"/>
                <w:sz w:val="26"/>
                <w:szCs w:val="26"/>
              </w:rPr>
            </w:pPr>
          </w:p>
          <w:p w14:paraId="43002D9D">
            <w:pPr>
              <w:spacing w:after="0" w:line="240" w:lineRule="auto"/>
              <w:jc w:val="center"/>
              <w:rPr>
                <w:rFonts w:eastAsia="Times New Roman" w:cs="Times New Roman"/>
                <w:b/>
                <w:w w:val="90"/>
                <w:sz w:val="26"/>
                <w:szCs w:val="26"/>
              </w:rPr>
            </w:pPr>
          </w:p>
          <w:p w14:paraId="1EDFD906">
            <w:pPr>
              <w:spacing w:after="0" w:line="240" w:lineRule="auto"/>
              <w:jc w:val="center"/>
              <w:rPr>
                <w:rFonts w:eastAsia="Times New Roman" w:cs="Times New Roman"/>
                <w:b/>
                <w:w w:val="90"/>
                <w:sz w:val="26"/>
                <w:szCs w:val="26"/>
              </w:rPr>
            </w:pPr>
          </w:p>
          <w:p w14:paraId="5153B8C7">
            <w:pPr>
              <w:spacing w:after="0" w:line="240" w:lineRule="auto"/>
              <w:jc w:val="center"/>
              <w:rPr>
                <w:rFonts w:eastAsia="Times New Roman" w:cs="Times New Roman"/>
                <w:b/>
                <w:w w:val="90"/>
                <w:sz w:val="26"/>
                <w:szCs w:val="26"/>
              </w:rPr>
            </w:pPr>
            <w:r>
              <w:rPr>
                <w:rFonts w:eastAsia="Times New Roman" w:cs="Times New Roman"/>
                <w:b/>
                <w:w w:val="90"/>
                <w:sz w:val="26"/>
                <w:szCs w:val="26"/>
              </w:rPr>
              <w:t>Nhất trí</w:t>
            </w:r>
          </w:p>
        </w:tc>
        <w:tc>
          <w:tcPr>
            <w:tcW w:w="3158" w:type="dxa"/>
          </w:tcPr>
          <w:p w14:paraId="28A0512E">
            <w:pPr>
              <w:spacing w:after="0" w:line="240" w:lineRule="auto"/>
              <w:jc w:val="center"/>
              <w:rPr>
                <w:rFonts w:eastAsia="Times New Roman" w:cs="Times New Roman"/>
                <w:b/>
                <w:w w:val="90"/>
                <w:sz w:val="26"/>
                <w:szCs w:val="26"/>
              </w:rPr>
            </w:pPr>
          </w:p>
        </w:tc>
      </w:tr>
      <w:tr w14:paraId="5D0854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8" w:hRule="atLeast"/>
        </w:trPr>
        <w:tc>
          <w:tcPr>
            <w:tcW w:w="736" w:type="dxa"/>
          </w:tcPr>
          <w:p w14:paraId="07BAE57B">
            <w:pPr>
              <w:spacing w:after="0" w:line="240" w:lineRule="auto"/>
              <w:jc w:val="center"/>
              <w:rPr>
                <w:rFonts w:eastAsia="Times New Roman" w:cs="Times New Roman"/>
                <w:b/>
                <w:w w:val="90"/>
                <w:sz w:val="26"/>
                <w:szCs w:val="26"/>
              </w:rPr>
            </w:pPr>
            <w:r>
              <w:rPr>
                <w:rFonts w:eastAsia="Times New Roman" w:cs="Times New Roman"/>
                <w:b/>
                <w:w w:val="90"/>
                <w:sz w:val="26"/>
                <w:szCs w:val="26"/>
              </w:rPr>
              <w:t>II</w:t>
            </w:r>
          </w:p>
        </w:tc>
        <w:tc>
          <w:tcPr>
            <w:tcW w:w="13963" w:type="dxa"/>
            <w:gridSpan w:val="4"/>
          </w:tcPr>
          <w:p w14:paraId="64237B2D">
            <w:pPr>
              <w:spacing w:after="0" w:line="240" w:lineRule="auto"/>
              <w:rPr>
                <w:rFonts w:eastAsia="Times New Roman" w:cs="Times New Roman"/>
                <w:b/>
                <w:w w:val="90"/>
                <w:sz w:val="26"/>
                <w:szCs w:val="26"/>
              </w:rPr>
            </w:pPr>
            <w:r>
              <w:rPr>
                <w:rFonts w:eastAsia="Times New Roman" w:cs="Times New Roman"/>
                <w:b/>
                <w:w w:val="90"/>
                <w:sz w:val="26"/>
                <w:szCs w:val="26"/>
              </w:rPr>
              <w:t xml:space="preserve">Các cơ quan, đơn vị có ý kiến góp ý: </w:t>
            </w:r>
          </w:p>
        </w:tc>
      </w:tr>
      <w:tr w14:paraId="226782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72" w:hRule="atLeast"/>
        </w:trPr>
        <w:tc>
          <w:tcPr>
            <w:tcW w:w="736" w:type="dxa"/>
          </w:tcPr>
          <w:p w14:paraId="3CEDE650">
            <w:pPr>
              <w:spacing w:before="120" w:after="0" w:line="320" w:lineRule="exact"/>
              <w:rPr>
                <w:rFonts w:eastAsia="Arial" w:cs="Times New Roman"/>
                <w:w w:val="90"/>
                <w:sz w:val="26"/>
                <w:szCs w:val="26"/>
              </w:rPr>
            </w:pPr>
            <w:r>
              <w:rPr>
                <w:rFonts w:eastAsia="Arial" w:cs="Times New Roman"/>
                <w:w w:val="90"/>
                <w:sz w:val="26"/>
                <w:szCs w:val="26"/>
              </w:rPr>
              <w:t>1</w:t>
            </w:r>
          </w:p>
        </w:tc>
        <w:tc>
          <w:tcPr>
            <w:tcW w:w="4617" w:type="dxa"/>
          </w:tcPr>
          <w:p w14:paraId="743BB6F5">
            <w:pPr>
              <w:spacing w:before="120" w:after="0" w:line="320" w:lineRule="exact"/>
              <w:rPr>
                <w:rFonts w:eastAsia="Arial" w:cs="Times New Roman"/>
                <w:b/>
                <w:w w:val="90"/>
                <w:sz w:val="26"/>
                <w:szCs w:val="26"/>
              </w:rPr>
            </w:pPr>
            <w:r>
              <w:rPr>
                <w:rFonts w:eastAsia="Arial" w:cs="Times New Roman"/>
                <w:b/>
                <w:w w:val="90"/>
                <w:sz w:val="26"/>
                <w:szCs w:val="26"/>
              </w:rPr>
              <w:t>Sở Tư pháp</w:t>
            </w:r>
          </w:p>
        </w:tc>
        <w:tc>
          <w:tcPr>
            <w:tcW w:w="6188" w:type="dxa"/>
            <w:gridSpan w:val="2"/>
          </w:tcPr>
          <w:p w14:paraId="582CCEE0">
            <w:pPr>
              <w:spacing w:before="120" w:after="0" w:line="240" w:lineRule="auto"/>
              <w:jc w:val="both"/>
              <w:rPr>
                <w:rFonts w:cs="Times New Roman"/>
                <w:spacing w:val="-2"/>
                <w:sz w:val="26"/>
                <w:szCs w:val="26"/>
                <w:lang w:val="sv-SE"/>
              </w:rPr>
            </w:pPr>
            <w:r>
              <w:rPr>
                <w:sz w:val="26"/>
                <w:szCs w:val="26"/>
              </w:rPr>
              <w:t>I. Dự thảo Quyết định 1. Phần căn cứ ban hành - Bỏ dấu “-” trước mỗi căn cứ. - Bỏ căn cứ sau do không liên quan trực tiếp đến dự thảo: “Căn cứ Luật Ban hành văn bản quy phạm pháp luật số 64/2025/QH15; Luật sửa đổi, bổ sung một số điều của Luật Ban hành văn bản quy phạm pháp luật số 87/2025/QH15”. - Khổ 3, sửa như sau: “Luật Thi đua, khen thưởng số 06/2022/QH15”. 2. Điều 1 quy định: “thay thế căn cứ “Nghị định số 98/2023/NĐ-CP ngày 31 tháng 12 năm 2023 của Chính phủ quy định chi tiết thi hành một số điều của Luật Thi đua, khen thưởng” bằng căn cứ “Nghị định 152/2025/NĐ-CP ngày 14 tháng 6 năm 2025 của Chính phủ quy định về phân cấp, phân quyền trong lĩnh vực thi đua, khen thưởng; Quy định chi tiết và hướng dẫn thi hành một số điều của Luật Thi đua, khen thưởng”. tại căn cứ ban hành của Quyết định số 21/2024/QĐ-UBND của UBND tỉnh”. Đề nghị bỏ quy định trên, tại thời điểm ban hành Quyết định số 21/2024/QĐ-UBND, căn cứ Nghị định số 98/2023/NĐ-CP vẫn phù hợp, tại phần căn cứ pháp lý của dự thảo đã có Nghị định 152/2025/NĐ-CP. 3. Điều 7, đề nghị sửa như sau: “Quyết định này có hiệu lực thi hành kể từ ngày...tháng...năm 2026”. 5. Về ngôn ngữ tại dự thảo - Dự thảo nhiều lần sử dụng số ký hiệu không chính xác “21/QĐ-UBND”. Đề nghị rà soát, thay bằng “21/2024/QĐ-UBND”. - Việc dẫn chiếu các số thứ tự tại các phụ lục ban hành kèm theo Quyết định số 21/2024/QĐ-UBND để sửa đổi, bổ sung tại Điều 4 của dự thảo chưa thống nhất, đề nghị rà soát lại. 2 6. Về bố cục của dự thảo - Bố cục quy định về biệc bãi bỏ, thay thế thành một Điều riêng và sắp xếp sau các quy định về sửa đổi, bổ sung. - Sắp xếp, bố cục các nội dung sửa đổi, bổ sung theo thứ tự tương ứng với trật tự các điều, khoản, điểm, phụ lục của văn bản được sửa đổi, bổ sung. - Đề nghị các nội dung theo Điều, khoản, điểm.</w:t>
            </w:r>
          </w:p>
        </w:tc>
        <w:tc>
          <w:tcPr>
            <w:tcW w:w="3158" w:type="dxa"/>
          </w:tcPr>
          <w:p w14:paraId="64B17E70">
            <w:pPr>
              <w:spacing w:before="120" w:after="0" w:line="320" w:lineRule="exact"/>
              <w:jc w:val="both"/>
              <w:rPr>
                <w:rFonts w:eastAsia="Arial" w:cs="Times New Roman"/>
                <w:w w:val="90"/>
                <w:sz w:val="26"/>
                <w:szCs w:val="26"/>
              </w:rPr>
            </w:pPr>
            <w:r>
              <w:rPr>
                <w:rFonts w:eastAsia="Arial" w:cs="Times New Roman"/>
                <w:w w:val="90"/>
                <w:sz w:val="26"/>
                <w:szCs w:val="26"/>
              </w:rPr>
              <w:t>Tiếp Thu</w:t>
            </w:r>
          </w:p>
        </w:tc>
      </w:tr>
      <w:tr w14:paraId="62F141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81" w:hRule="atLeast"/>
        </w:trPr>
        <w:tc>
          <w:tcPr>
            <w:tcW w:w="736" w:type="dxa"/>
          </w:tcPr>
          <w:p w14:paraId="3251DD0A">
            <w:pPr>
              <w:spacing w:before="120" w:after="0" w:line="320" w:lineRule="exact"/>
              <w:rPr>
                <w:rFonts w:eastAsia="Arial" w:cs="Times New Roman"/>
                <w:w w:val="90"/>
                <w:sz w:val="26"/>
                <w:szCs w:val="26"/>
              </w:rPr>
            </w:pPr>
            <w:r>
              <w:rPr>
                <w:rFonts w:eastAsia="Arial" w:cs="Times New Roman"/>
                <w:w w:val="90"/>
                <w:sz w:val="26"/>
                <w:szCs w:val="26"/>
              </w:rPr>
              <w:t>2</w:t>
            </w:r>
          </w:p>
        </w:tc>
        <w:tc>
          <w:tcPr>
            <w:tcW w:w="4617" w:type="dxa"/>
          </w:tcPr>
          <w:p w14:paraId="0EBC3E84">
            <w:pPr>
              <w:spacing w:before="120" w:after="0" w:line="320" w:lineRule="exact"/>
              <w:rPr>
                <w:rFonts w:eastAsia="Arial" w:cs="Times New Roman"/>
                <w:b/>
                <w:w w:val="90"/>
                <w:sz w:val="26"/>
                <w:szCs w:val="26"/>
              </w:rPr>
            </w:pPr>
            <w:r>
              <w:rPr>
                <w:rFonts w:eastAsia="Arial" w:cs="Times New Roman"/>
                <w:b/>
                <w:w w:val="90"/>
                <w:sz w:val="26"/>
                <w:szCs w:val="26"/>
              </w:rPr>
              <w:t>Xã Lợi Bác</w:t>
            </w:r>
          </w:p>
        </w:tc>
        <w:tc>
          <w:tcPr>
            <w:tcW w:w="6188" w:type="dxa"/>
            <w:gridSpan w:val="2"/>
          </w:tcPr>
          <w:p w14:paraId="4F3CEE10">
            <w:pPr>
              <w:spacing w:before="120" w:after="0" w:line="240" w:lineRule="auto"/>
              <w:jc w:val="both"/>
              <w:rPr>
                <w:sz w:val="26"/>
                <w:szCs w:val="26"/>
              </w:rPr>
            </w:pPr>
            <w:r>
              <w:rPr>
                <w:sz w:val="26"/>
                <w:szCs w:val="26"/>
              </w:rPr>
              <w:t xml:space="preserve">1. Nội dung: “Bãi bỏ tiêu chuẩn 1, mục 1, phụ lục 2: “1. Thu nhập bình quân đầu người của thôn, tổ dân phố bằng hoặc cao hơn thu nhập bình quân đầu người của tỉnh”. Đề nghị sửa lại là: “Bãi bỏ tiêu chuẩn 1, mục 1, phụ lục 2: “1. Thu nhập bình quân đầu người của thôn, tổ dân phố bằng hoặc cao hơn thu nhập bình quân đầu người của xã phường thị trấn”. </w:t>
            </w:r>
          </w:p>
          <w:p w14:paraId="47CD1B34">
            <w:pPr>
              <w:spacing w:before="120" w:after="0" w:line="240" w:lineRule="auto"/>
              <w:jc w:val="both"/>
              <w:rPr>
                <w:sz w:val="26"/>
                <w:szCs w:val="26"/>
              </w:rPr>
            </w:pPr>
            <w:r>
              <w:rPr>
                <w:sz w:val="26"/>
                <w:szCs w:val="26"/>
              </w:rPr>
              <w:t xml:space="preserve">2. Nội dung: Sửa đổi tiêu chuẩn 2, mục I , phụ lục II: “2. Tỷ lệ hộ nghèo đa chiều của thôn, tổ dân phố thấp hơn so với tỷ lệ hộ nghèo đa chiều của tỉnh”. Đề nghị xem xét, bổ sung: “Sửa đổi tiêu chuẩn 2, mục I , phụ lục II: “2. Tỷ lệ hộ nghèo đa chiều của thôn, tổ dân phố thấp hơn so với tỷ lệ hộ nghèo đa chiều của tỉnh, trong đó phân định theo vùng: Thành thị và Nông thôn - Xã và phường, hoặc phân định theo khu vực I, II, III”. </w:t>
            </w:r>
          </w:p>
          <w:p w14:paraId="2BA7E5CE">
            <w:pPr>
              <w:spacing w:before="120" w:after="0" w:line="240" w:lineRule="auto"/>
              <w:jc w:val="both"/>
              <w:rPr>
                <w:sz w:val="26"/>
                <w:szCs w:val="26"/>
              </w:rPr>
            </w:pPr>
            <w:r>
              <w:rPr>
                <w:sz w:val="26"/>
                <w:szCs w:val="26"/>
              </w:rPr>
              <w:t xml:space="preserve">3. Nội dung: “Sửa đổi tiêu chuẩn 1, mục II, phụ lục III: “1.Tại thời điểm đề nghị xét tặng danh hiệu, thu nhập bình quân đầu người bằng hoặc cao hơn thu nhập bình quân đầu người của tỉnh”. Đề nghị xem xét, bổ sung: “Sửa đổi tiêu chuẩn 1, mục II, phụ lục III: “1.Tại thời điểm đề nghị xét tặng danh hiệu, thu nhập bình quân đầu người bằng hoặc cao hơn thu nhập bình quân đầu người của tỉnh, trong đó phân định theo vùng: Thành thị và Nông thôn - Xã và phường, hoặc phân định theo khu vực I, II, III”. </w:t>
            </w:r>
          </w:p>
          <w:p w14:paraId="4D5DF206">
            <w:pPr>
              <w:spacing w:before="120" w:after="0" w:line="240" w:lineRule="auto"/>
              <w:jc w:val="both"/>
              <w:rPr>
                <w:sz w:val="26"/>
                <w:szCs w:val="26"/>
              </w:rPr>
            </w:pPr>
            <w:r>
              <w:rPr>
                <w:sz w:val="26"/>
                <w:szCs w:val="26"/>
              </w:rPr>
              <w:t xml:space="preserve">4. Nội dung “Sửa đổi tiêu chuẩn 2, mục II, phụ lục III: “2. Tỷ lệ nghèo đa chiều của xã, phường thấp hơn so với tỷ lệ nghèo đa chiều của tỉnh”. 2 Đề nghị xem xét, bổ sung: “Sửa đổi tiêu chuẩn 2, mục II, phụ lục III: “2. Tỷ lệ nghèo đa chiều của xã, phường thấp hơn so với tỷ lệ nghèo đa chiều của tỉnh, trong đó phân định theo vùng: Thành thị và Nông thôn - Xã và phường, hoặc phân định theo khu vực I, II, III”. </w:t>
            </w:r>
          </w:p>
          <w:p w14:paraId="4634F24A">
            <w:pPr>
              <w:spacing w:before="120" w:after="0" w:line="240" w:lineRule="auto"/>
              <w:jc w:val="both"/>
              <w:rPr>
                <w:rFonts w:cs="Times New Roman"/>
                <w:sz w:val="26"/>
                <w:szCs w:val="26"/>
              </w:rPr>
            </w:pPr>
            <w:r>
              <w:rPr>
                <w:sz w:val="26"/>
                <w:szCs w:val="26"/>
              </w:rPr>
              <w:t>5. Lý do đề nghị xem xét bổ sung: Để đảm bảo công bằng và phù hợp với tình hình thực tế tại cơ sở trong thi đua thực hiện xây dựng danh hiệu thôn văn hóa, tổ dân phố văn hóa do mức thu nhập của nhân dân các khu vực thành thị - nông thôn, thôn – tổ dân phố trên địa bàn tỉnh chênh lệch nhiều.</w:t>
            </w:r>
          </w:p>
        </w:tc>
        <w:tc>
          <w:tcPr>
            <w:tcW w:w="3158" w:type="dxa"/>
          </w:tcPr>
          <w:p w14:paraId="62C7AB7E">
            <w:pPr>
              <w:spacing w:before="120" w:after="0" w:line="320" w:lineRule="exact"/>
              <w:jc w:val="both"/>
              <w:rPr>
                <w:rFonts w:eastAsia="Arial" w:cs="Times New Roman"/>
                <w:w w:val="90"/>
                <w:sz w:val="26"/>
                <w:szCs w:val="26"/>
              </w:rPr>
            </w:pPr>
            <w:r>
              <w:rPr>
                <w:rFonts w:eastAsia="Arial" w:cs="Times New Roman"/>
                <w:w w:val="90"/>
                <w:sz w:val="26"/>
                <w:szCs w:val="26"/>
              </w:rPr>
              <w:t>Tiếp thu</w:t>
            </w:r>
          </w:p>
        </w:tc>
      </w:tr>
      <w:tr w14:paraId="4C85E66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56" w:hRule="atLeast"/>
        </w:trPr>
        <w:tc>
          <w:tcPr>
            <w:tcW w:w="736" w:type="dxa"/>
          </w:tcPr>
          <w:p w14:paraId="3B96D118">
            <w:pPr>
              <w:spacing w:before="120" w:after="0" w:line="320" w:lineRule="exact"/>
              <w:rPr>
                <w:rFonts w:eastAsia="Arial" w:cs="Times New Roman"/>
                <w:w w:val="90"/>
                <w:sz w:val="26"/>
                <w:szCs w:val="26"/>
              </w:rPr>
            </w:pPr>
            <w:r>
              <w:rPr>
                <w:rFonts w:eastAsia="Arial" w:cs="Times New Roman"/>
                <w:w w:val="90"/>
                <w:sz w:val="26"/>
                <w:szCs w:val="26"/>
              </w:rPr>
              <w:t>3</w:t>
            </w:r>
          </w:p>
        </w:tc>
        <w:tc>
          <w:tcPr>
            <w:tcW w:w="4617" w:type="dxa"/>
          </w:tcPr>
          <w:p w14:paraId="0358BAE9">
            <w:pPr>
              <w:spacing w:before="120" w:after="0" w:line="320" w:lineRule="exact"/>
              <w:rPr>
                <w:rFonts w:eastAsia="Arial" w:cs="Times New Roman"/>
                <w:b/>
                <w:w w:val="90"/>
                <w:sz w:val="26"/>
                <w:szCs w:val="26"/>
              </w:rPr>
            </w:pPr>
            <w:r>
              <w:rPr>
                <w:rFonts w:eastAsia="Arial" w:cs="Times New Roman"/>
                <w:b/>
                <w:w w:val="90"/>
                <w:sz w:val="26"/>
                <w:szCs w:val="26"/>
              </w:rPr>
              <w:t>Xã Thất Khê</w:t>
            </w:r>
          </w:p>
        </w:tc>
        <w:tc>
          <w:tcPr>
            <w:tcW w:w="6188" w:type="dxa"/>
            <w:gridSpan w:val="2"/>
          </w:tcPr>
          <w:p w14:paraId="1149DC11">
            <w:pPr>
              <w:spacing w:before="120" w:after="0" w:line="240" w:lineRule="auto"/>
              <w:jc w:val="both"/>
              <w:rPr>
                <w:sz w:val="26"/>
                <w:szCs w:val="26"/>
              </w:rPr>
            </w:pPr>
            <w:r>
              <w:rPr>
                <w:sz w:val="26"/>
                <w:szCs w:val="26"/>
              </w:rPr>
              <w:t>Tại dự thảo Quyết định sửa đổi, bổ sung, thay thế, bãi bỏ một số nội dung của Quyết định số 21/2024/QĐ-UBND ngày 24 tháng 6 năm 2024 của Ủy ban nhân dân tỉnh Lạng Sơn; bản thuyết minh và Tờ trình dự thảo Quyết định: nội dung quy định về việc bãi bỏ tiêu chuẩn 1, mục 1, Phụ lục II chưa bảo đảm tính chính xác và phù hợp với quy định hiện hành tại Quyết định số 21/2024/QĐUBND. Cụ thể, các dự thảo nêu nội dung bãi bỏ như sau: “1. Thu nhập bình quân đầu người của thôn, tổ dân phố bằng hoặc cao hơn thu nhập bình quân đầu người của tỉnh”. Trong khi đó, theo Quyết định số 21/2024/QĐ-UBND, nội dung hiện hành là: “1. Thu nhập bình quân đầu người của thôn, tổ dân phố bằng hoặc cao hơn thu nhập bình quân đầu người của xã, phường, thị trấn”. Đề nghị rà soát, chỉnh sửa theo hướng trích dẫn đúng, nguyên văn nội dung của văn bản hiện hành làm căn cứ bãi bỏ; cụ thể biên soạn lại như sau: “1. Thu nhập bình quân đầu người của thôn, tổ dân phố bằng hoặc cao hơn thu nhập bình quân đầu người của xã, phường, thị tr</w:t>
            </w:r>
            <w:bookmarkStart w:id="0" w:name="_GoBack"/>
            <w:bookmarkEnd w:id="0"/>
            <w:r>
              <w:rPr>
                <w:sz w:val="26"/>
                <w:szCs w:val="26"/>
              </w:rPr>
              <w:t>ấn”.</w:t>
            </w:r>
          </w:p>
        </w:tc>
        <w:tc>
          <w:tcPr>
            <w:tcW w:w="3158" w:type="dxa"/>
          </w:tcPr>
          <w:p w14:paraId="12EE090D">
            <w:pPr>
              <w:spacing w:before="120" w:after="0" w:line="320" w:lineRule="exact"/>
              <w:jc w:val="both"/>
              <w:rPr>
                <w:rFonts w:eastAsia="Arial" w:cs="Times New Roman"/>
                <w:w w:val="90"/>
                <w:sz w:val="26"/>
                <w:szCs w:val="26"/>
              </w:rPr>
            </w:pPr>
            <w:r>
              <w:rPr>
                <w:rFonts w:eastAsia="Arial" w:cs="Times New Roman"/>
                <w:w w:val="90"/>
                <w:sz w:val="26"/>
                <w:szCs w:val="26"/>
              </w:rPr>
              <w:t>Tiếp thu ý kiến</w:t>
            </w:r>
          </w:p>
        </w:tc>
      </w:tr>
    </w:tbl>
    <w:p w14:paraId="3C233E19"/>
    <w:sectPr>
      <w:headerReference r:id="rId5" w:type="default"/>
      <w:pgSz w:w="16840" w:h="11907" w:orient="landscape"/>
      <w:pgMar w:top="1140" w:right="1134" w:bottom="1134" w:left="1134" w:header="454" w:footer="454" w:gutter="0"/>
      <w:cols w:space="720" w:num="1"/>
      <w:titlePg/>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36132472"/>
      <w:docPartObj>
        <w:docPartGallery w:val="AutoText"/>
      </w:docPartObj>
    </w:sdtPr>
    <w:sdtContent>
      <w:p w14:paraId="2EFE85E1">
        <w:pPr>
          <w:pStyle w:val="4"/>
          <w:jc w:val="center"/>
        </w:pPr>
        <w:r>
          <w:fldChar w:fldCharType="begin"/>
        </w:r>
        <w:r>
          <w:instrText xml:space="preserve"> PAGE   \* MERGEFORMAT </w:instrText>
        </w:r>
        <w:r>
          <w:fldChar w:fldCharType="separate"/>
        </w:r>
        <w:r>
          <w:t>4</w:t>
        </w:r>
        <w:r>
          <w:fldChar w:fldCharType="end"/>
        </w:r>
      </w:p>
    </w:sdtContent>
  </w:sdt>
  <w:p w14:paraId="70CDDFAF">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C8B"/>
    <w:rsid w:val="003574F1"/>
    <w:rsid w:val="00461FAD"/>
    <w:rsid w:val="005B5A2B"/>
    <w:rsid w:val="00660C8B"/>
    <w:rsid w:val="00665611"/>
    <w:rsid w:val="0070770B"/>
    <w:rsid w:val="00826CBD"/>
    <w:rsid w:val="00BC3782"/>
    <w:rsid w:val="00F118FB"/>
    <w:rsid w:val="00FE6551"/>
    <w:rsid w:val="223D2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heme="minorHAnsi" w:cstheme="minorBidi"/>
      <w:sz w:val="28"/>
      <w:szCs w:val="28"/>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header"/>
    <w:basedOn w:val="1"/>
    <w:link w:val="7"/>
    <w:unhideWhenUsed/>
    <w:uiPriority w:val="99"/>
    <w:pPr>
      <w:tabs>
        <w:tab w:val="center" w:pos="4680"/>
        <w:tab w:val="right" w:pos="9360"/>
      </w:tabs>
      <w:spacing w:after="0" w:line="240" w:lineRule="auto"/>
    </w:pPr>
  </w:style>
  <w:style w:type="paragraph" w:styleId="5">
    <w:name w:val="Normal (Web)"/>
    <w:basedOn w:val="1"/>
    <w:unhideWhenUsed/>
    <w:qFormat/>
    <w:uiPriority w:val="99"/>
    <w:pPr>
      <w:spacing w:before="100" w:beforeAutospacing="1" w:after="100" w:afterAutospacing="1" w:line="240" w:lineRule="auto"/>
    </w:pPr>
    <w:rPr>
      <w:rFonts w:eastAsia="Times New Roman" w:cs="Times New Roman"/>
      <w:sz w:val="24"/>
      <w:szCs w:val="24"/>
    </w:rPr>
  </w:style>
  <w:style w:type="table" w:styleId="6">
    <w:name w:val="Table Grid"/>
    <w:basedOn w:val="3"/>
    <w:qFormat/>
    <w:uiPriority w:val="59"/>
    <w:pPr>
      <w:spacing w:after="0" w:line="240" w:lineRule="auto"/>
    </w:pPr>
    <w:rPr>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Header Char"/>
    <w:basedOn w:val="2"/>
    <w:link w:val="4"/>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1356</Words>
  <Characters>4851</Characters>
  <Lines>45</Lines>
  <Paragraphs>12</Paragraphs>
  <TotalTime>31</TotalTime>
  <ScaleCrop>false</ScaleCrop>
  <LinksUpToDate>false</LinksUpToDate>
  <CharactersWithSpaces>6324</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2026-05-12T02:28:00Z</dcterms:created>
  <dc:creator>QUANG DAT</dc:creator>
  <cp:lastModifiedBy>QUANG DAT</cp:lastModifiedBy>
  <dcterms:modified xsi:type="dcterms:W3CDTF">2026-06-06T03:22:15Z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eyJoZGlkIjoiMjE1NmE4NDE1NDNkMmVkN2JiNWZiMGEwMDExZDE3YzgifQ==</vt:lpwstr>
  </property>
  <property fmtid="{D5CDD505-2E9C-101B-9397-08002B2CF9AE}" pid="3" name="KSOProductBuildVer">
    <vt:lpwstr>1033-12.1.0.26880</vt:lpwstr>
  </property>
  <property fmtid="{D5CDD505-2E9C-101B-9397-08002B2CF9AE}" pid="4" name="ICV">
    <vt:lpwstr>C8571A516DF349799DDE8576F70C740B_12</vt:lpwstr>
  </property>
</Properties>
</file>